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CONTRATO DE PRESTAÇÃO DE SERVIÇOS COMERCIAIS</w:t>
        <w:br/>
        <w:t>E INTERMEDIAÇÃO DE VENDAS - PRS CARD PRO</w:t>
      </w:r>
    </w:p>
    <w:p>
      <w:r>
        <w:rPr>
          <w:b/>
        </w:rPr>
        <w:t xml:space="preserve">CONTRATANTE: </w:t>
      </w:r>
      <w:r>
        <w:t>PRS INTERMEDIAÇÃO E COMÉRCIO LTDA, inscrita no CNPJ nº 32.027.983/0001-46, com sede na Av. Luis Vieira dos Santos 10 Rua Floresta, nº 281, Bairro Floresta, Itaituba/PA, CEP 68.181-360, responsável pela operação da PRS Marketing e do PRS Card Pro.</w:t>
      </w:r>
    </w:p>
    <w:p>
      <w:r>
        <w:rPr>
          <w:b/>
        </w:rPr>
        <w:t xml:space="preserve">PRESTADOR/VENDEDOR: </w:t>
      </w:r>
      <w:r>
        <w:t>Pessoa física ou jurídica identificada no cadastro comercial e no aceite eletrônico deste instrumento, doravante denominada PRESTADOR.</w:t>
      </w:r>
    </w:p>
    <w:p>
      <w:r>
        <w:rPr>
          <w:b/>
          <w:sz w:val="22"/>
        </w:rPr>
        <w:t>1. OBJETO</w:t>
      </w:r>
    </w:p>
    <w:p>
      <w:pPr>
        <w:jc w:val="both"/>
      </w:pPr>
      <w:r>
        <w:t>Prestação independente de serviços de prospecção, apresentação comercial, encaminhamento de interessados e apoio à contratação do PRS Card Pro, conforme políticas comerciais vigentes. O PRESTADOR não poderá assumir obrigações, conceder descontos, prometer resultados ou representar juridicamente a CONTRATANTE sem autorização expressa.</w:t>
      </w:r>
    </w:p>
    <w:p>
      <w:r>
        <w:rPr>
          <w:b/>
          <w:sz w:val="22"/>
        </w:rPr>
        <w:t>2. NATUREZA DA RELAÇÃO</w:t>
      </w:r>
    </w:p>
    <w:p>
      <w:pPr>
        <w:jc w:val="both"/>
      </w:pPr>
      <w:r>
        <w:t>A relação é de prestação de serviços comerciais, sem exclusividade salvo ajuste escrito. A inexistência de vínculo empregatício depende da realidade prática da relação, especialmente da ausência de subordinação jurídica típica, controle de jornada e demais elementos legais caracterizadores. Este instrumento não substitui análise jurídica, trabalhista, tributária ou contábil específica.</w:t>
      </w:r>
    </w:p>
    <w:p>
      <w:r>
        <w:rPr>
          <w:b/>
          <w:sz w:val="22"/>
        </w:rPr>
        <w:t>3. CADASTRO E HABILITAÇÃO</w:t>
      </w:r>
    </w:p>
    <w:p>
      <w:pPr>
        <w:jc w:val="both"/>
      </w:pPr>
      <w:r>
        <w:t>O PRESTADOR deverá manter dados cadastrais, fiscais e bancários atualizados, aceitar as políticas comerciais e concluir o treinamento ou habilitação exigidos. O acesso ao painel poderá ser suspenso em caso de informação incorreta, uso indevido, fraude, violação de dados ou descumprimento contratual.</w:t>
      </w:r>
    </w:p>
    <w:p>
      <w:r>
        <w:rPr>
          <w:b/>
          <w:sz w:val="22"/>
        </w:rPr>
        <w:t>4. CICLO DE PRODUÇÃO</w:t>
      </w:r>
    </w:p>
    <w:p>
      <w:pPr>
        <w:jc w:val="both"/>
      </w:pPr>
      <w:r>
        <w:t>A produção comercial será organizada em ciclos mensais. Cada ciclo terá as fases: ABERTO (prospecção e registro), EM APURAÇÃO (fechamento do período), EM CONFERÊNCIA (validação de vendas e pagamentos), APROVADO (comissões liberadas) e PAGO (repasse concluído). A plataforma exibirá início, término, data de corte, quantidade de leads, contratos, vendas válidas, cancelamentos, estornos, receita e comissão do ciclo.</w:t>
      </w:r>
    </w:p>
    <w:p>
      <w:r>
        <w:rPr>
          <w:b/>
          <w:sz w:val="22"/>
        </w:rPr>
        <w:t>5. REGRA DE PRODUÇÃO VÁLIDA</w:t>
      </w:r>
    </w:p>
    <w:p>
      <w:pPr>
        <w:jc w:val="both"/>
      </w:pPr>
      <w:r>
        <w:t>Somente contará como produção válida a contratação atribuída ao PRESTADOR no sistema e confirmada conforme as regras comerciais. A comissão será elegível apenas quando houver identificação do cliente, plano contratado, aceite aplicável e pagamento confirmado. Vendas canceladas, estornadas, fraudulentas, duplicadas ou inadimplentes poderão ser excluídas da apuração ou compensadas em ciclo posterior.</w:t>
      </w:r>
    </w:p>
    <w:p>
      <w:r>
        <w:rPr>
          <w:b/>
          <w:sz w:val="22"/>
        </w:rPr>
        <w:t>6. COMISSÕES</w:t>
      </w:r>
    </w:p>
    <w:p>
      <w:pPr>
        <w:jc w:val="both"/>
      </w:pPr>
      <w:r>
        <w:t>O percentual ou valor de comissão não é fixado neste instrumento principal. Será definido na Tabela de Comissões vigente no painel do vendedor ou em anexo comercial, por plano, campanha, cupom, implantação, recorrência ou meta. A tabela deverá informar base de cálculo, evento gerador, condições de elegibilidade, prazo de conferência e previsão de pagamento.</w:t>
      </w:r>
    </w:p>
    <w:p>
      <w:r>
        <w:rPr>
          <w:b/>
          <w:sz w:val="22"/>
        </w:rPr>
        <w:t>7. METAS E FAIXAS DE PRODUÇÃO</w:t>
      </w:r>
    </w:p>
    <w:p>
      <w:pPr>
        <w:jc w:val="both"/>
      </w:pPr>
      <w:r>
        <w:t>A CONTRATANTE poderá criar metas e faixas por ciclo, tais como quantidade de contatos, propostas, contratos pagos, receita líquida ou assinaturas ativas. Metas comerciais não garantem remuneração mínima. Bonificações somente serão devidas quando expressamente previstas e atingidas as condições registradas no ciclo.</w:t>
      </w:r>
    </w:p>
    <w:p>
      <w:r>
        <w:rPr>
          <w:b/>
          <w:sz w:val="22"/>
        </w:rPr>
        <w:t>8. ATRIBUIÇÃO DE CLIENTES</w:t>
      </w:r>
    </w:p>
    <w:p>
      <w:pPr>
        <w:jc w:val="both"/>
      </w:pPr>
      <w:r>
        <w:t>O vendedor deverá registrar o lead antes ou no momento da abordagem, respeitando as regras de propriedade e duplicidade de leads. Em conflitos de atribuição, prevalecerão os registros de auditoria e as regras internas vigentes. É proibida a apropriação indevida de clientes de outro vendedor.</w:t>
      </w:r>
    </w:p>
    <w:p>
      <w:r>
        <w:rPr>
          <w:b/>
          <w:sz w:val="22"/>
        </w:rPr>
        <w:t>9. CONDUTA COMERCIAL E PUBLICIDADE</w:t>
      </w:r>
    </w:p>
    <w:p>
      <w:pPr>
        <w:jc w:val="both"/>
      </w:pPr>
      <w:r>
        <w:t>O PRESTADOR deverá utilizar materiais aprovados pela PRS, comunicar preços e condições de forma verdadeira e não criar promessas de resultado, informações falsas, ofertas não autorizadas ou publicidade que possa induzir o cliente a erro.</w:t>
      </w:r>
    </w:p>
    <w:p>
      <w:r>
        <w:rPr>
          <w:b/>
          <w:sz w:val="22"/>
        </w:rPr>
        <w:t>10. PROTEÇÃO DE DADOS</w:t>
      </w:r>
    </w:p>
    <w:p>
      <w:pPr>
        <w:jc w:val="both"/>
      </w:pPr>
      <w:r>
        <w:t>O PRESTADOR deverá tratar dados pessoais somente para finalidades autorizadas, observar a LGPD e as políticas de segurança da CONTRATANTE, não compartilhar credenciais e não manter cópias desnecessárias de documentos ou informações de clientes.</w:t>
      </w:r>
    </w:p>
    <w:p>
      <w:r>
        <w:rPr>
          <w:b/>
          <w:sz w:val="22"/>
        </w:rPr>
        <w:t>11. PAGAMENTO DAS COMISSÕES</w:t>
      </w:r>
    </w:p>
    <w:p>
      <w:pPr>
        <w:jc w:val="both"/>
      </w:pPr>
      <w:r>
        <w:t>Após o encerramento do ciclo, a produção será apurada e disponibilizada para conferência. Havendo divergência, o PRESTADOR deverá contestar pelo canal indicado dentro do prazo operacional informado no painel. Após aprovação, o pagamento seguirá o calendário financeiro cadastrado, condicionado à regularidade das informações necessárias ao repasse e às obrigações fiscais aplicáveis.</w:t>
      </w:r>
    </w:p>
    <w:p>
      <w:r>
        <w:rPr>
          <w:b/>
          <w:sz w:val="22"/>
        </w:rPr>
        <w:t>12. CANCELAMENTOS, ESTORNOS E CHARGEBACKS</w:t>
      </w:r>
    </w:p>
    <w:p>
      <w:pPr>
        <w:jc w:val="both"/>
      </w:pPr>
      <w:r>
        <w:t>Se uma venda já comissionada for posteriormente cancelada, estornada ou considerada inválida, o valor correspondente poderá ser descontado de comissões futuras, desde que haja identificação e demonstração da ocorrência no relatório do vendedor.</w:t>
      </w:r>
    </w:p>
    <w:p>
      <w:r>
        <w:rPr>
          <w:b/>
          <w:sz w:val="22"/>
        </w:rPr>
        <w:t>13. CONFIDENCIALIDADE</w:t>
      </w:r>
    </w:p>
    <w:p>
      <w:pPr>
        <w:jc w:val="both"/>
      </w:pPr>
      <w:r>
        <w:t>Informações comerciais, listas de clientes, preços internos, relatórios, credenciais, métricas, materiais e estratégias da PRS deverão ser mantidos em sigilo e utilizados apenas para execução deste contrato.</w:t>
      </w:r>
    </w:p>
    <w:p>
      <w:r>
        <w:rPr>
          <w:b/>
          <w:sz w:val="22"/>
        </w:rPr>
        <w:t>14. VIGÊNCIA E RESCISÃO</w:t>
      </w:r>
    </w:p>
    <w:p>
      <w:pPr>
        <w:jc w:val="both"/>
      </w:pPr>
      <w:r>
        <w:t>O contrato vigorará a partir do aceite e poderá ser encerrado por qualquer parte conforme aviso e regras operacionais registradas, sem prejuízo da apuração de valores já definitivamente adquiridos e das obrigações de confidencialidade, proteção de dados e prestação de contas.</w:t>
      </w:r>
    </w:p>
    <w:p>
      <w:r>
        <w:rPr>
          <w:b/>
          <w:sz w:val="22"/>
        </w:rPr>
        <w:t>15. ACEITE ELETRÔNICO E AUDITORIA</w:t>
      </w:r>
    </w:p>
    <w:p>
      <w:pPr>
        <w:jc w:val="both"/>
      </w:pPr>
      <w:r>
        <w:t>O aceite eletrônico poderá registrar usuário, data, hora, versão do contrato, IP e demais evidências técnicas proporcionais. O sistema manterá histórico de alterações relevantes de produção, comissões e status dos ciclos.</w:t>
      </w:r>
    </w:p>
    <w:p>
      <w:r>
        <w:rPr>
          <w:b/>
          <w:sz w:val="22"/>
        </w:rPr>
        <w:t>16. DISPOSIÇÕES FINAIS</w:t>
      </w:r>
    </w:p>
    <w:p>
      <w:pPr>
        <w:jc w:val="both"/>
      </w:pPr>
      <w:r>
        <w:t>As políticas de comissão, campanhas, metas e regras operacionais exibidas no painel integram este instrumento quando identificadas por versão e vigência. Situações não previstas serão tratadas conforme a legislação brasileira aplicável.</w:t>
      </w:r>
    </w:p>
    <w:p>
      <w:r>
        <w:rPr>
          <w:b/>
          <w:sz w:val="22"/>
        </w:rPr>
        <w:t>ANEXO I - MODELO DE CICLO DE PRODUÇÃO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2"/>
        <w:gridCol w:w="1972"/>
        <w:gridCol w:w="1972"/>
        <w:gridCol w:w="1972"/>
        <w:gridCol w:w="1972"/>
      </w:tblGrid>
      <w:tr>
        <w:tc>
          <w:tcPr>
            <w:tcW w:type="dxa" w:w="1972"/>
          </w:tcPr>
          <w:p>
            <w:r>
              <w:t>Etapa</w:t>
            </w:r>
          </w:p>
        </w:tc>
        <w:tc>
          <w:tcPr>
            <w:tcW w:type="dxa" w:w="1972"/>
          </w:tcPr>
          <w:p>
            <w:r>
              <w:t>Status</w:t>
            </w:r>
          </w:p>
        </w:tc>
        <w:tc>
          <w:tcPr>
            <w:tcW w:type="dxa" w:w="1972"/>
          </w:tcPr>
          <w:p>
            <w:r>
              <w:t>Período</w:t>
            </w:r>
          </w:p>
        </w:tc>
        <w:tc>
          <w:tcPr>
            <w:tcW w:type="dxa" w:w="1972"/>
          </w:tcPr>
          <w:p>
            <w:r>
              <w:t>Responsável</w:t>
            </w:r>
          </w:p>
        </w:tc>
        <w:tc>
          <w:tcPr>
            <w:tcW w:type="dxa" w:w="1972"/>
          </w:tcPr>
          <w:p>
            <w:r>
              <w:t>Resultado</w:t>
            </w:r>
          </w:p>
        </w:tc>
      </w:tr>
      <w:tr>
        <w:tc>
          <w:tcPr>
            <w:tcW w:type="dxa" w:w="1972"/>
          </w:tcPr>
          <w:p>
            <w:r>
              <w:t>Produção</w:t>
            </w:r>
          </w:p>
        </w:tc>
        <w:tc>
          <w:tcPr>
            <w:tcW w:type="dxa" w:w="1972"/>
          </w:tcPr>
          <w:p>
            <w:r>
              <w:t>Aberto</w:t>
            </w:r>
          </w:p>
        </w:tc>
        <w:tc>
          <w:tcPr>
            <w:tcW w:type="dxa" w:w="1972"/>
          </w:tcPr>
          <w:p>
            <w:r>
              <w:t>Durante o mês</w:t>
            </w:r>
          </w:p>
        </w:tc>
        <w:tc>
          <w:tcPr>
            <w:tcW w:type="dxa" w:w="1972"/>
          </w:tcPr>
          <w:p>
            <w:r>
              <w:t>Vendedor</w:t>
            </w:r>
          </w:p>
        </w:tc>
        <w:tc>
          <w:tcPr>
            <w:tcW w:type="dxa" w:w="1972"/>
          </w:tcPr>
          <w:p>
            <w:r>
              <w:t>Leads, propostas e vendas registradas</w:t>
            </w:r>
          </w:p>
        </w:tc>
      </w:tr>
      <w:tr>
        <w:tc>
          <w:tcPr>
            <w:tcW w:type="dxa" w:w="1972"/>
          </w:tcPr>
          <w:p>
            <w:r>
              <w:t>Fechamento</w:t>
            </w:r>
          </w:p>
        </w:tc>
        <w:tc>
          <w:tcPr>
            <w:tcW w:type="dxa" w:w="1972"/>
          </w:tcPr>
          <w:p>
            <w:r>
              <w:t>Em apuração</w:t>
            </w:r>
          </w:p>
        </w:tc>
        <w:tc>
          <w:tcPr>
            <w:tcW w:type="dxa" w:w="1972"/>
          </w:tcPr>
          <w:p>
            <w:r>
              <w:t>Após data de corte</w:t>
            </w:r>
          </w:p>
        </w:tc>
        <w:tc>
          <w:tcPr>
            <w:tcW w:type="dxa" w:w="1972"/>
          </w:tcPr>
          <w:p>
            <w:r>
              <w:t>Sistema/PRS</w:t>
            </w:r>
          </w:p>
        </w:tc>
        <w:tc>
          <w:tcPr>
            <w:tcW w:type="dxa" w:w="1972"/>
          </w:tcPr>
          <w:p>
            <w:r>
              <w:t>Consolidação do ciclo</w:t>
            </w:r>
          </w:p>
        </w:tc>
      </w:tr>
      <w:tr>
        <w:tc>
          <w:tcPr>
            <w:tcW w:type="dxa" w:w="1972"/>
          </w:tcPr>
          <w:p>
            <w:r>
              <w:t>Validação</w:t>
            </w:r>
          </w:p>
        </w:tc>
        <w:tc>
          <w:tcPr>
            <w:tcW w:type="dxa" w:w="1972"/>
          </w:tcPr>
          <w:p>
            <w:r>
              <w:t>Em conferência</w:t>
            </w:r>
          </w:p>
        </w:tc>
        <w:tc>
          <w:tcPr>
            <w:tcW w:type="dxa" w:w="1972"/>
          </w:tcPr>
          <w:p>
            <w:r>
              <w:t>Prazo operacional</w:t>
            </w:r>
          </w:p>
        </w:tc>
        <w:tc>
          <w:tcPr>
            <w:tcW w:type="dxa" w:w="1972"/>
          </w:tcPr>
          <w:p>
            <w:r>
              <w:t>Financeiro/PRS</w:t>
            </w:r>
          </w:p>
        </w:tc>
        <w:tc>
          <w:tcPr>
            <w:tcW w:type="dxa" w:w="1972"/>
          </w:tcPr>
          <w:p>
            <w:r>
              <w:t>Pagamentos, cancelamentos e duplicidades</w:t>
            </w:r>
          </w:p>
        </w:tc>
      </w:tr>
      <w:tr>
        <w:tc>
          <w:tcPr>
            <w:tcW w:type="dxa" w:w="1972"/>
          </w:tcPr>
          <w:p>
            <w:r>
              <w:t>Liberação</w:t>
            </w:r>
          </w:p>
        </w:tc>
        <w:tc>
          <w:tcPr>
            <w:tcW w:type="dxa" w:w="1972"/>
          </w:tcPr>
          <w:p>
            <w:r>
              <w:t>Aprovado</w:t>
            </w:r>
          </w:p>
        </w:tc>
        <w:tc>
          <w:tcPr>
            <w:tcW w:type="dxa" w:w="1972"/>
          </w:tcPr>
          <w:p>
            <w:r>
              <w:t>Após conferência</w:t>
            </w:r>
          </w:p>
        </w:tc>
        <w:tc>
          <w:tcPr>
            <w:tcW w:type="dxa" w:w="1972"/>
          </w:tcPr>
          <w:p>
            <w:r>
              <w:t>Gestor</w:t>
            </w:r>
          </w:p>
        </w:tc>
        <w:tc>
          <w:tcPr>
            <w:tcW w:type="dxa" w:w="1972"/>
          </w:tcPr>
          <w:p>
            <w:r>
              <w:t>Comissão elegível</w:t>
            </w:r>
          </w:p>
        </w:tc>
      </w:tr>
      <w:tr>
        <w:tc>
          <w:tcPr>
            <w:tcW w:type="dxa" w:w="1972"/>
          </w:tcPr>
          <w:p>
            <w:r>
              <w:t>Repasse</w:t>
            </w:r>
          </w:p>
        </w:tc>
        <w:tc>
          <w:tcPr>
            <w:tcW w:type="dxa" w:w="1972"/>
          </w:tcPr>
          <w:p>
            <w:r>
              <w:t>Pago</w:t>
            </w:r>
          </w:p>
        </w:tc>
        <w:tc>
          <w:tcPr>
            <w:tcW w:type="dxa" w:w="1972"/>
          </w:tcPr>
          <w:p>
            <w:r>
              <w:t>Calendário financeiro</w:t>
            </w:r>
          </w:p>
        </w:tc>
        <w:tc>
          <w:tcPr>
            <w:tcW w:type="dxa" w:w="1972"/>
          </w:tcPr>
          <w:p>
            <w:r>
              <w:t>Financeiro</w:t>
            </w:r>
          </w:p>
        </w:tc>
        <w:tc>
          <w:tcPr>
            <w:tcW w:type="dxa" w:w="1972"/>
          </w:tcPr>
          <w:p>
            <w:r>
              <w:t>Comissão liquidada</w:t>
            </w:r>
          </w:p>
        </w:tc>
      </w:tr>
    </w:tbl>
    <w:sectPr w:rsidR="00FC693F" w:rsidRPr="0006063C" w:rsidSect="00034616">
      <w:pgSz w:w="12240" w:h="15840"/>
      <w:pgMar w:top="964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